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BF2E7CB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25807">
        <w:rPr>
          <w:rFonts w:ascii="Arial" w:eastAsia="Arial" w:hAnsi="Arial" w:cs="Arial"/>
          <w:b/>
          <w:bCs/>
          <w:sz w:val="20"/>
          <w:szCs w:val="20"/>
        </w:rPr>
        <w:t xml:space="preserve">Administrace veřejných zakázek 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</w:t>
        </w:r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n</w:t>
        </w:r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65C70E7F" w:rsidR="00EB5000" w:rsidRDefault="0032337E" w:rsidP="00225807">
    <w:pPr>
      <w:pStyle w:val="Zhlav"/>
      <w:ind w:firstLine="3540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2C14E862">
          <wp:simplePos x="0" y="0"/>
          <wp:positionH relativeFrom="margin">
            <wp:posOffset>-4445</wp:posOffset>
          </wp:positionH>
          <wp:positionV relativeFrom="page">
            <wp:posOffset>152400</wp:posOffset>
          </wp:positionV>
          <wp:extent cx="2451100" cy="651510"/>
          <wp:effectExtent l="0" t="0" r="6350" b="0"/>
          <wp:wrapThrough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hrough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225807"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25807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2258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10</cp:revision>
  <dcterms:created xsi:type="dcterms:W3CDTF">2023-03-28T08:13:00Z</dcterms:created>
  <dcterms:modified xsi:type="dcterms:W3CDTF">2024-01-04T12:47:00Z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